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6D" w:rsidRPr="00D17DE6" w:rsidRDefault="007B0C00" w:rsidP="00AA5F0A">
      <w:pPr>
        <w:spacing w:line="240" w:lineRule="exact"/>
        <w:jc w:val="right"/>
        <w:rPr>
          <w:rFonts w:asciiTheme="majorHAnsi" w:eastAsia="Calibri" w:hAnsiTheme="majorHAnsi" w:cstheme="majorHAnsi"/>
          <w:sz w:val="18"/>
          <w:szCs w:val="18"/>
          <w:shd w:val="clear" w:color="auto" w:fill="FFFFFF"/>
        </w:rPr>
      </w:pPr>
      <w:r w:rsidRPr="00D17DE6">
        <w:rPr>
          <w:rFonts w:asciiTheme="majorHAnsi" w:eastAsia="Calibri" w:hAnsiTheme="majorHAnsi" w:cstheme="majorHAnsi"/>
          <w:sz w:val="18"/>
          <w:szCs w:val="18"/>
          <w:shd w:val="clear" w:color="auto" w:fill="FFFFFF"/>
        </w:rPr>
        <w:t xml:space="preserve">Załącznik nr </w:t>
      </w:r>
      <w:r w:rsidR="00D17DE6" w:rsidRPr="00D17DE6">
        <w:rPr>
          <w:rFonts w:asciiTheme="majorHAnsi" w:eastAsia="Calibri" w:hAnsiTheme="majorHAnsi" w:cstheme="majorHAnsi"/>
          <w:sz w:val="18"/>
          <w:szCs w:val="18"/>
          <w:shd w:val="clear" w:color="auto" w:fill="FFFFFF"/>
        </w:rPr>
        <w:t>3</w:t>
      </w:r>
    </w:p>
    <w:p w:rsidR="00BE086B" w:rsidRPr="00D17DE6" w:rsidRDefault="00512007" w:rsidP="00BE086B">
      <w:pPr>
        <w:jc w:val="right"/>
        <w:rPr>
          <w:rFonts w:asciiTheme="majorHAnsi" w:eastAsia="Calibri" w:hAnsiTheme="majorHAnsi" w:cstheme="majorHAnsi"/>
          <w:sz w:val="18"/>
          <w:szCs w:val="18"/>
          <w:shd w:val="clear" w:color="auto" w:fill="FFFFFF"/>
        </w:rPr>
      </w:pPr>
      <w:r w:rsidRPr="00D17DE6">
        <w:rPr>
          <w:rFonts w:asciiTheme="majorHAnsi" w:eastAsia="Calibri" w:hAnsiTheme="majorHAnsi" w:cstheme="majorHAnsi"/>
          <w:sz w:val="18"/>
          <w:szCs w:val="18"/>
          <w:shd w:val="clear" w:color="auto" w:fill="FFFFFF"/>
        </w:rPr>
        <w:t xml:space="preserve">do zaproszenia do składania ofert </w:t>
      </w:r>
    </w:p>
    <w:p w:rsidR="00BE086B" w:rsidRPr="00D17DE6" w:rsidRDefault="00BE086B" w:rsidP="00BE086B">
      <w:pPr>
        <w:jc w:val="right"/>
        <w:rPr>
          <w:rFonts w:asciiTheme="majorHAnsi" w:hAnsiTheme="majorHAnsi" w:cstheme="majorHAnsi"/>
          <w:sz w:val="18"/>
          <w:szCs w:val="18"/>
        </w:rPr>
      </w:pPr>
      <w:r w:rsidRPr="00D17DE6">
        <w:rPr>
          <w:rFonts w:asciiTheme="majorHAnsi" w:hAnsiTheme="majorHAnsi" w:cstheme="majorHAnsi"/>
          <w:sz w:val="18"/>
          <w:szCs w:val="18"/>
        </w:rPr>
        <w:t>ZEOSziP 271.1.2022</w:t>
      </w:r>
    </w:p>
    <w:p w:rsidR="00AA5F0A" w:rsidRPr="00D17DE6" w:rsidRDefault="00512007">
      <w:pPr>
        <w:spacing w:line="240" w:lineRule="exact"/>
        <w:jc w:val="right"/>
        <w:rPr>
          <w:rFonts w:asciiTheme="majorHAnsi" w:eastAsia="Calibri" w:hAnsiTheme="majorHAnsi" w:cstheme="majorHAnsi"/>
          <w:sz w:val="18"/>
          <w:szCs w:val="18"/>
          <w:shd w:val="clear" w:color="auto" w:fill="FFFFFF"/>
        </w:rPr>
      </w:pPr>
      <w:r w:rsidRPr="00D17DE6">
        <w:rPr>
          <w:rFonts w:asciiTheme="majorHAnsi" w:eastAsia="Calibri" w:hAnsiTheme="majorHAnsi" w:cstheme="majorHAnsi"/>
          <w:sz w:val="18"/>
          <w:szCs w:val="18"/>
          <w:shd w:val="clear" w:color="auto" w:fill="FFFFFF"/>
        </w:rPr>
        <w:t xml:space="preserve">z dnia </w:t>
      </w:r>
      <w:r w:rsidR="007B14A0" w:rsidRPr="00D17DE6">
        <w:rPr>
          <w:rFonts w:asciiTheme="majorHAnsi" w:eastAsia="Calibri" w:hAnsiTheme="majorHAnsi" w:cstheme="majorHAnsi"/>
          <w:sz w:val="18"/>
          <w:szCs w:val="18"/>
          <w:shd w:val="clear" w:color="auto" w:fill="FFFFFF"/>
        </w:rPr>
        <w:t>1</w:t>
      </w:r>
      <w:r w:rsidR="00E132BE" w:rsidRPr="00D17DE6">
        <w:rPr>
          <w:rFonts w:asciiTheme="majorHAnsi" w:eastAsia="Calibri" w:hAnsiTheme="majorHAnsi" w:cstheme="majorHAnsi"/>
          <w:sz w:val="18"/>
          <w:szCs w:val="18"/>
          <w:shd w:val="clear" w:color="auto" w:fill="FFFFFF"/>
        </w:rPr>
        <w:t>7</w:t>
      </w:r>
      <w:r w:rsidR="00736B20" w:rsidRPr="00D17DE6">
        <w:rPr>
          <w:rFonts w:asciiTheme="majorHAnsi" w:eastAsia="Calibri" w:hAnsiTheme="majorHAnsi" w:cstheme="majorHAnsi"/>
          <w:sz w:val="18"/>
          <w:szCs w:val="18"/>
          <w:shd w:val="clear" w:color="auto" w:fill="FFFFFF"/>
        </w:rPr>
        <w:t>.05</w:t>
      </w:r>
      <w:r w:rsidRPr="00D17DE6">
        <w:rPr>
          <w:rFonts w:asciiTheme="majorHAnsi" w:eastAsia="Calibri" w:hAnsiTheme="majorHAnsi" w:cstheme="majorHAnsi"/>
          <w:sz w:val="18"/>
          <w:szCs w:val="18"/>
          <w:shd w:val="clear" w:color="auto" w:fill="FFFFFF"/>
        </w:rPr>
        <w:t>.2022r</w:t>
      </w:r>
      <w:r w:rsidR="00AA5F0A" w:rsidRPr="00D17DE6">
        <w:rPr>
          <w:rFonts w:asciiTheme="majorHAnsi" w:eastAsia="Calibri" w:hAnsiTheme="majorHAnsi" w:cstheme="majorHAnsi"/>
          <w:sz w:val="18"/>
          <w:szCs w:val="18"/>
          <w:shd w:val="clear" w:color="auto" w:fill="FFFFFF"/>
        </w:rPr>
        <w:t>.</w:t>
      </w:r>
    </w:p>
    <w:p w:rsidR="00163373" w:rsidRPr="005B102F" w:rsidRDefault="00163373">
      <w:pPr>
        <w:spacing w:line="240" w:lineRule="exact"/>
        <w:jc w:val="right"/>
        <w:rPr>
          <w:rFonts w:asciiTheme="majorHAnsi" w:eastAsia="Calibri" w:hAnsiTheme="majorHAnsi" w:cstheme="majorHAnsi"/>
          <w:color w:val="000000"/>
          <w:sz w:val="22"/>
          <w:szCs w:val="22"/>
          <w:shd w:val="clear" w:color="auto" w:fill="FFFFFF"/>
        </w:rPr>
      </w:pPr>
    </w:p>
    <w:p w:rsidR="00163373" w:rsidRPr="005B102F" w:rsidRDefault="00163373">
      <w:pPr>
        <w:spacing w:line="240" w:lineRule="exact"/>
        <w:jc w:val="right"/>
        <w:rPr>
          <w:rFonts w:asciiTheme="majorHAnsi" w:eastAsia="Calibri" w:hAnsiTheme="majorHAnsi" w:cstheme="majorHAnsi"/>
          <w:color w:val="000000"/>
          <w:sz w:val="22"/>
          <w:szCs w:val="22"/>
          <w:shd w:val="clear" w:color="auto" w:fill="FFFFFF"/>
        </w:rPr>
      </w:pPr>
    </w:p>
    <w:p w:rsidR="00546ADD" w:rsidRPr="005B102F" w:rsidRDefault="00546ADD" w:rsidP="00AA5F0A">
      <w:pPr>
        <w:spacing w:line="240" w:lineRule="exact"/>
        <w:rPr>
          <w:rFonts w:asciiTheme="majorHAnsi" w:eastAsia="Calibri" w:hAnsiTheme="majorHAnsi" w:cstheme="majorHAnsi"/>
          <w:color w:val="000000"/>
          <w:sz w:val="22"/>
          <w:szCs w:val="22"/>
          <w:shd w:val="clear" w:color="auto" w:fill="FFFFFF"/>
        </w:rPr>
      </w:pPr>
    </w:p>
    <w:p w:rsidR="00BA6027" w:rsidRPr="005B102F" w:rsidRDefault="00BA6027" w:rsidP="00BA6027">
      <w:pPr>
        <w:spacing w:line="0" w:lineRule="atLeast"/>
        <w:ind w:right="60"/>
        <w:jc w:val="center"/>
        <w:rPr>
          <w:rFonts w:asciiTheme="majorHAnsi" w:hAnsiTheme="majorHAnsi" w:cstheme="majorHAnsi"/>
          <w:b/>
          <w:sz w:val="22"/>
          <w:szCs w:val="22"/>
        </w:rPr>
      </w:pPr>
      <w:r w:rsidRPr="005B102F">
        <w:rPr>
          <w:rFonts w:asciiTheme="majorHAnsi" w:hAnsiTheme="majorHAnsi" w:cstheme="majorHAnsi"/>
          <w:b/>
          <w:sz w:val="22"/>
          <w:szCs w:val="22"/>
        </w:rPr>
        <w:t>SZCZEGÓŁOWY OPIS ZAMÓWIENIA</w:t>
      </w:r>
    </w:p>
    <w:p w:rsidR="00546ADD" w:rsidRPr="005B102F" w:rsidRDefault="00546ADD" w:rsidP="00BA6027">
      <w:pPr>
        <w:spacing w:line="240" w:lineRule="exact"/>
        <w:jc w:val="center"/>
        <w:rPr>
          <w:rFonts w:asciiTheme="majorHAnsi" w:eastAsia="Calibri" w:hAnsiTheme="majorHAnsi" w:cstheme="majorHAnsi"/>
          <w:color w:val="000000"/>
          <w:sz w:val="22"/>
          <w:szCs w:val="22"/>
          <w:shd w:val="clear" w:color="auto" w:fill="FFFFFF"/>
        </w:rPr>
      </w:pPr>
    </w:p>
    <w:tbl>
      <w:tblPr>
        <w:tblStyle w:val="Tabela-Siatka"/>
        <w:tblW w:w="0" w:type="auto"/>
        <w:tblLook w:val="04A0"/>
      </w:tblPr>
      <w:tblGrid>
        <w:gridCol w:w="1951"/>
        <w:gridCol w:w="6679"/>
      </w:tblGrid>
      <w:tr w:rsidR="00BA6027" w:rsidRPr="005B102F" w:rsidTr="00BB19E2">
        <w:tc>
          <w:tcPr>
            <w:tcW w:w="1951" w:type="dxa"/>
          </w:tcPr>
          <w:p w:rsidR="00BA6027" w:rsidRPr="005B102F" w:rsidRDefault="00BA6027" w:rsidP="00BA6027">
            <w:pPr>
              <w:spacing w:line="240" w:lineRule="exact"/>
              <w:jc w:val="center"/>
              <w:rPr>
                <w:rFonts w:asciiTheme="majorHAnsi" w:eastAsia="Calibri" w:hAnsiTheme="majorHAnsi" w:cstheme="majorHAnsi"/>
                <w:color w:val="000000"/>
                <w:sz w:val="22"/>
                <w:szCs w:val="22"/>
                <w:shd w:val="clear" w:color="auto" w:fill="FFFFFF"/>
              </w:rPr>
            </w:pPr>
            <w:r w:rsidRPr="005B102F">
              <w:rPr>
                <w:rFonts w:asciiTheme="majorHAnsi" w:eastAsia="Calibri" w:hAnsiTheme="majorHAnsi" w:cstheme="majorHAnsi"/>
                <w:color w:val="000000"/>
                <w:sz w:val="22"/>
                <w:szCs w:val="22"/>
                <w:shd w:val="clear" w:color="auto" w:fill="FFFFFF"/>
              </w:rPr>
              <w:t>Nazwa</w:t>
            </w:r>
          </w:p>
        </w:tc>
        <w:tc>
          <w:tcPr>
            <w:tcW w:w="6679" w:type="dxa"/>
          </w:tcPr>
          <w:p w:rsidR="00BA6027" w:rsidRPr="005B102F" w:rsidRDefault="00BA6027" w:rsidP="00BA6027">
            <w:pPr>
              <w:spacing w:line="240" w:lineRule="exact"/>
              <w:jc w:val="center"/>
              <w:rPr>
                <w:rFonts w:asciiTheme="majorHAnsi" w:eastAsia="Calibri" w:hAnsiTheme="majorHAnsi" w:cstheme="majorHAnsi"/>
                <w:color w:val="000000"/>
                <w:sz w:val="22"/>
                <w:szCs w:val="22"/>
                <w:shd w:val="clear" w:color="auto" w:fill="FFFFFF"/>
              </w:rPr>
            </w:pPr>
            <w:r w:rsidRPr="005B102F">
              <w:rPr>
                <w:rFonts w:asciiTheme="majorHAnsi" w:eastAsia="Calibri" w:hAnsiTheme="majorHAnsi" w:cstheme="majorHAnsi"/>
                <w:color w:val="000000"/>
                <w:sz w:val="22"/>
                <w:szCs w:val="22"/>
                <w:shd w:val="clear" w:color="auto" w:fill="FFFFFF"/>
              </w:rPr>
              <w:t>Wymagane minimalne parametry techniczne</w:t>
            </w:r>
          </w:p>
        </w:tc>
      </w:tr>
      <w:tr w:rsidR="00BB19E2" w:rsidRPr="005B102F" w:rsidTr="00BB19E2">
        <w:tc>
          <w:tcPr>
            <w:tcW w:w="1951" w:type="dxa"/>
          </w:tcPr>
          <w:p w:rsidR="00BB19E2" w:rsidRPr="00BB19E2" w:rsidRDefault="00BB19E2" w:rsidP="00BB19E2">
            <w:pPr>
              <w:spacing w:line="240" w:lineRule="exact"/>
              <w:ind w:left="360" w:hanging="360"/>
              <w:rPr>
                <w:rFonts w:asciiTheme="majorHAnsi" w:eastAsia="Calibri" w:hAnsiTheme="majorHAnsi" w:cstheme="majorHAnsi"/>
                <w:color w:val="000000"/>
                <w:sz w:val="18"/>
                <w:szCs w:val="18"/>
                <w:shd w:val="clear" w:color="auto" w:fill="FFFFFF"/>
              </w:rPr>
            </w:pPr>
            <w:r>
              <w:rPr>
                <w:rFonts w:asciiTheme="majorHAnsi" w:eastAsia="Calibri" w:hAnsiTheme="majorHAnsi" w:cstheme="majorHAnsi"/>
                <w:color w:val="000000"/>
                <w:sz w:val="18"/>
                <w:szCs w:val="18"/>
                <w:shd w:val="clear" w:color="auto" w:fill="FFFFFF"/>
              </w:rPr>
              <w:t xml:space="preserve">1. </w:t>
            </w:r>
            <w:r w:rsidRPr="00BB19E2">
              <w:rPr>
                <w:rFonts w:asciiTheme="majorHAnsi" w:eastAsia="Calibri" w:hAnsiTheme="majorHAnsi" w:cstheme="majorHAnsi"/>
                <w:color w:val="000000"/>
                <w:sz w:val="18"/>
                <w:szCs w:val="18"/>
                <w:shd w:val="clear" w:color="auto" w:fill="FFFFFF"/>
              </w:rPr>
              <w:t>Typ</w:t>
            </w:r>
          </w:p>
        </w:tc>
        <w:tc>
          <w:tcPr>
            <w:tcW w:w="6679" w:type="dxa"/>
          </w:tcPr>
          <w:p w:rsidR="00BB19E2" w:rsidRPr="005B102F" w:rsidRDefault="00BB19E2" w:rsidP="00A102C3">
            <w:pPr>
              <w:spacing w:line="240" w:lineRule="exact"/>
              <w:jc w:val="both"/>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 xml:space="preserve">Komputer przenośny typu notebook z ekranem </w:t>
            </w:r>
            <w:r w:rsidRPr="00A102C3">
              <w:rPr>
                <w:rFonts w:asciiTheme="majorHAnsi" w:eastAsia="Calibri" w:hAnsiTheme="majorHAnsi" w:cstheme="majorHAnsi"/>
                <w:sz w:val="18"/>
                <w:szCs w:val="18"/>
                <w:shd w:val="clear" w:color="auto" w:fill="FFFFFF"/>
              </w:rPr>
              <w:t>1</w:t>
            </w:r>
            <w:r w:rsidR="00A102C3" w:rsidRPr="00A102C3">
              <w:rPr>
                <w:rFonts w:asciiTheme="majorHAnsi" w:eastAsia="Calibri" w:hAnsiTheme="majorHAnsi" w:cstheme="majorHAnsi"/>
                <w:sz w:val="18"/>
                <w:szCs w:val="18"/>
                <w:shd w:val="clear" w:color="auto" w:fill="FFFFFF"/>
              </w:rPr>
              <w:t>7,3</w:t>
            </w:r>
            <w:r w:rsidRPr="00A102C3">
              <w:rPr>
                <w:rFonts w:asciiTheme="majorHAnsi" w:eastAsia="Calibri" w:hAnsiTheme="majorHAnsi" w:cstheme="majorHAnsi"/>
                <w:sz w:val="18"/>
                <w:szCs w:val="18"/>
                <w:shd w:val="clear" w:color="auto" w:fill="FFFFFF"/>
              </w:rPr>
              <w:t xml:space="preserve"> cala</w:t>
            </w:r>
            <w:r w:rsidRPr="005B102F">
              <w:rPr>
                <w:rFonts w:asciiTheme="majorHAnsi" w:eastAsia="Calibri" w:hAnsiTheme="majorHAnsi" w:cstheme="majorHAnsi"/>
                <w:color w:val="000000"/>
                <w:sz w:val="18"/>
                <w:szCs w:val="18"/>
                <w:shd w:val="clear" w:color="auto" w:fill="FFFFFF"/>
              </w:rPr>
              <w:t xml:space="preserve"> o rozdzielczości FHD (1920x1080) z podświetleniem LED, matryca matowa, j</w:t>
            </w:r>
            <w:r>
              <w:rPr>
                <w:rFonts w:asciiTheme="majorHAnsi" w:eastAsia="Calibri" w:hAnsiTheme="majorHAnsi" w:cstheme="majorHAnsi"/>
                <w:color w:val="000000"/>
                <w:sz w:val="18"/>
                <w:szCs w:val="18"/>
                <w:shd w:val="clear" w:color="auto" w:fill="FFFFFF"/>
              </w:rPr>
              <w:t>asność min. 250 nits, kontrast 6</w:t>
            </w:r>
            <w:r w:rsidRPr="005B102F">
              <w:rPr>
                <w:rFonts w:asciiTheme="majorHAnsi" w:eastAsia="Calibri" w:hAnsiTheme="majorHAnsi" w:cstheme="majorHAnsi"/>
                <w:color w:val="000000"/>
                <w:sz w:val="18"/>
                <w:szCs w:val="18"/>
                <w:shd w:val="clear" w:color="auto" w:fill="FFFFFF"/>
              </w:rPr>
              <w:t>00:1</w:t>
            </w:r>
          </w:p>
        </w:tc>
      </w:tr>
      <w:tr w:rsidR="00BA6027" w:rsidRPr="005B102F" w:rsidTr="00BB19E2">
        <w:tc>
          <w:tcPr>
            <w:tcW w:w="1951" w:type="dxa"/>
          </w:tcPr>
          <w:p w:rsidR="00BA6027" w:rsidRPr="005B102F" w:rsidRDefault="00BB19E2" w:rsidP="00BB19E2">
            <w:pPr>
              <w:spacing w:line="240" w:lineRule="exact"/>
              <w:rPr>
                <w:rFonts w:asciiTheme="majorHAnsi" w:eastAsia="Calibri" w:hAnsiTheme="majorHAnsi" w:cstheme="majorHAnsi"/>
                <w:color w:val="000000"/>
                <w:sz w:val="18"/>
                <w:szCs w:val="18"/>
                <w:shd w:val="clear" w:color="auto" w:fill="FFFFFF"/>
              </w:rPr>
            </w:pPr>
            <w:r>
              <w:rPr>
                <w:rFonts w:asciiTheme="majorHAnsi" w:eastAsia="Calibri" w:hAnsiTheme="majorHAnsi" w:cstheme="majorHAnsi"/>
                <w:color w:val="000000"/>
                <w:sz w:val="18"/>
                <w:szCs w:val="18"/>
                <w:shd w:val="clear" w:color="auto" w:fill="FFFFFF"/>
              </w:rPr>
              <w:t>2</w:t>
            </w:r>
            <w:r w:rsidR="00BA6027" w:rsidRPr="005B102F">
              <w:rPr>
                <w:rFonts w:asciiTheme="majorHAnsi" w:eastAsia="Calibri" w:hAnsiTheme="majorHAnsi" w:cstheme="majorHAnsi"/>
                <w:color w:val="000000"/>
                <w:sz w:val="18"/>
                <w:szCs w:val="18"/>
                <w:shd w:val="clear" w:color="auto" w:fill="FFFFFF"/>
              </w:rPr>
              <w:t>. Zastosowanie</w:t>
            </w:r>
          </w:p>
        </w:tc>
        <w:tc>
          <w:tcPr>
            <w:tcW w:w="6679" w:type="dxa"/>
          </w:tcPr>
          <w:p w:rsidR="00BA6027" w:rsidRPr="005B102F" w:rsidRDefault="004F7158" w:rsidP="00BB19E2">
            <w:pPr>
              <w:spacing w:line="240" w:lineRule="exact"/>
              <w:jc w:val="both"/>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Komputer przenośny będzie wykorzystywany dla potrzeb aplikacji edukacyjnych,</w:t>
            </w:r>
            <w:r w:rsidR="00BB19E2">
              <w:rPr>
                <w:rFonts w:asciiTheme="majorHAnsi" w:eastAsia="Calibri" w:hAnsiTheme="majorHAnsi" w:cstheme="majorHAnsi"/>
                <w:color w:val="000000"/>
                <w:sz w:val="18"/>
                <w:szCs w:val="18"/>
                <w:shd w:val="clear" w:color="auto" w:fill="FFFFFF"/>
              </w:rPr>
              <w:t xml:space="preserve"> aplikacji obliczeniowych, biurowych,</w:t>
            </w:r>
            <w:r w:rsidRPr="005B102F">
              <w:rPr>
                <w:rFonts w:asciiTheme="majorHAnsi" w:eastAsia="Calibri" w:hAnsiTheme="majorHAnsi" w:cstheme="majorHAnsi"/>
                <w:color w:val="000000"/>
                <w:sz w:val="18"/>
                <w:szCs w:val="18"/>
                <w:shd w:val="clear" w:color="auto" w:fill="FFFFFF"/>
              </w:rPr>
              <w:t xml:space="preserve"> dostępu do internetu oraz poczty elektronicznej. Oferowany towar ma być fabrycznie nowy, sprawny technicznie, kompletny i gotowy do pracy, wyprodukowany nie wcześniej niż w 2021 roku.</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3. Procesor</w:t>
            </w:r>
          </w:p>
        </w:tc>
        <w:tc>
          <w:tcPr>
            <w:tcW w:w="6679" w:type="dxa"/>
          </w:tcPr>
          <w:p w:rsidR="00CB1C59" w:rsidRPr="005B102F" w:rsidRDefault="005B102F" w:rsidP="00CB1C59">
            <w:pPr>
              <w:spacing w:line="240" w:lineRule="exact"/>
              <w:jc w:val="both"/>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 xml:space="preserve">Procesor osiągający min. </w:t>
            </w:r>
            <w:r w:rsidRPr="00D05808">
              <w:rPr>
                <w:rFonts w:asciiTheme="majorHAnsi" w:eastAsia="Calibri" w:hAnsiTheme="majorHAnsi" w:cstheme="majorHAnsi"/>
                <w:color w:val="000000"/>
                <w:sz w:val="18"/>
                <w:szCs w:val="18"/>
                <w:shd w:val="clear" w:color="auto" w:fill="FFFFFF"/>
              </w:rPr>
              <w:t>10</w:t>
            </w:r>
            <w:r w:rsidR="004F7158" w:rsidRPr="00D05808">
              <w:rPr>
                <w:rFonts w:asciiTheme="majorHAnsi" w:eastAsia="Calibri" w:hAnsiTheme="majorHAnsi" w:cstheme="majorHAnsi"/>
                <w:color w:val="000000"/>
                <w:sz w:val="18"/>
                <w:szCs w:val="18"/>
                <w:shd w:val="clear" w:color="auto" w:fill="FFFFFF"/>
              </w:rPr>
              <w:t>000</w:t>
            </w:r>
            <w:r w:rsidR="004F7158" w:rsidRPr="005B102F">
              <w:rPr>
                <w:rFonts w:asciiTheme="majorHAnsi" w:eastAsia="Calibri" w:hAnsiTheme="majorHAnsi" w:cstheme="majorHAnsi"/>
                <w:color w:val="000000"/>
                <w:sz w:val="18"/>
                <w:szCs w:val="18"/>
                <w:shd w:val="clear" w:color="auto" w:fill="FFFFFF"/>
              </w:rPr>
              <w:t xml:space="preserve"> punktów w teście PassMark CPU Mark według wyników ze strony</w:t>
            </w:r>
            <w:r w:rsidR="00CB1C59" w:rsidRPr="005B102F">
              <w:rPr>
                <w:rFonts w:asciiTheme="majorHAnsi" w:eastAsia="Calibri" w:hAnsiTheme="majorHAnsi" w:cstheme="majorHAnsi"/>
                <w:color w:val="000000"/>
                <w:sz w:val="18"/>
                <w:szCs w:val="18"/>
                <w:shd w:val="clear" w:color="auto" w:fill="FFFFFF"/>
              </w:rPr>
              <w:t>:</w:t>
            </w:r>
          </w:p>
          <w:p w:rsidR="00CB1C59" w:rsidRPr="005B102F" w:rsidRDefault="004B0AE5" w:rsidP="00CB1C59">
            <w:pPr>
              <w:spacing w:line="240" w:lineRule="exact"/>
              <w:jc w:val="both"/>
              <w:rPr>
                <w:rFonts w:asciiTheme="majorHAnsi" w:eastAsia="Calibri" w:hAnsiTheme="majorHAnsi" w:cstheme="majorHAnsi"/>
                <w:color w:val="000000"/>
                <w:sz w:val="18"/>
                <w:szCs w:val="18"/>
                <w:shd w:val="clear" w:color="auto" w:fill="FFFFFF"/>
              </w:rPr>
            </w:pPr>
            <w:hyperlink r:id="rId8" w:history="1">
              <w:r w:rsidR="00CB1C59" w:rsidRPr="005B102F">
                <w:rPr>
                  <w:rStyle w:val="Hipercze"/>
                  <w:rFonts w:asciiTheme="majorHAnsi" w:eastAsia="Calibri" w:hAnsiTheme="majorHAnsi" w:cstheme="majorHAnsi"/>
                  <w:sz w:val="18"/>
                  <w:szCs w:val="18"/>
                  <w:shd w:val="clear" w:color="auto" w:fill="FFFFFF"/>
                </w:rPr>
                <w:t>https://www.cpubenchmark.net/cpu_list.php</w:t>
              </w:r>
            </w:hyperlink>
          </w:p>
          <w:p w:rsidR="00BA6027" w:rsidRPr="005B102F" w:rsidRDefault="00DE4407" w:rsidP="00DE4407">
            <w:pPr>
              <w:spacing w:line="240" w:lineRule="exact"/>
              <w:jc w:val="both"/>
              <w:rPr>
                <w:rFonts w:asciiTheme="majorHAnsi" w:eastAsia="Calibri" w:hAnsiTheme="majorHAnsi" w:cstheme="majorHAnsi"/>
                <w:color w:val="000000"/>
                <w:sz w:val="18"/>
                <w:szCs w:val="18"/>
                <w:shd w:val="clear" w:color="auto" w:fill="FFFFFF"/>
              </w:rPr>
            </w:pPr>
            <w:r>
              <w:rPr>
                <w:rFonts w:asciiTheme="majorHAnsi" w:eastAsia="Calibri" w:hAnsiTheme="majorHAnsi" w:cstheme="majorHAnsi"/>
                <w:color w:val="000000"/>
                <w:sz w:val="18"/>
                <w:szCs w:val="18"/>
                <w:shd w:val="clear" w:color="auto" w:fill="FFFFFF"/>
              </w:rPr>
              <w:t>Wydruk w</w:t>
            </w:r>
            <w:r w:rsidR="004F7158" w:rsidRPr="005B102F">
              <w:rPr>
                <w:rFonts w:asciiTheme="majorHAnsi" w:eastAsia="Calibri" w:hAnsiTheme="majorHAnsi" w:cstheme="majorHAnsi"/>
                <w:color w:val="000000"/>
                <w:sz w:val="18"/>
                <w:szCs w:val="18"/>
                <w:shd w:val="clear" w:color="auto" w:fill="FFFFFF"/>
              </w:rPr>
              <w:t>ynik</w:t>
            </w:r>
            <w:r>
              <w:rPr>
                <w:rFonts w:asciiTheme="majorHAnsi" w:eastAsia="Calibri" w:hAnsiTheme="majorHAnsi" w:cstheme="majorHAnsi"/>
                <w:color w:val="000000"/>
                <w:sz w:val="18"/>
                <w:szCs w:val="18"/>
                <w:shd w:val="clear" w:color="auto" w:fill="FFFFFF"/>
              </w:rPr>
              <w:t>u,</w:t>
            </w:r>
            <w:r w:rsidR="00D05808">
              <w:rPr>
                <w:rFonts w:asciiTheme="majorHAnsi" w:eastAsia="Calibri" w:hAnsiTheme="majorHAnsi" w:cstheme="majorHAnsi"/>
                <w:color w:val="000000"/>
                <w:sz w:val="18"/>
                <w:szCs w:val="18"/>
                <w:shd w:val="clear" w:color="auto" w:fill="FFFFFF"/>
              </w:rPr>
              <w:t xml:space="preserve"> nie starszy niż 1 miesiąc</w:t>
            </w:r>
            <w:r w:rsidR="004F7158" w:rsidRPr="005B102F">
              <w:rPr>
                <w:rFonts w:asciiTheme="majorHAnsi" w:eastAsia="Calibri" w:hAnsiTheme="majorHAnsi" w:cstheme="majorHAnsi"/>
                <w:color w:val="000000"/>
                <w:sz w:val="18"/>
                <w:szCs w:val="18"/>
                <w:shd w:val="clear" w:color="auto" w:fill="FFFFFF"/>
              </w:rPr>
              <w:t xml:space="preserve"> od daty publikacji postępowania</w:t>
            </w:r>
            <w:r>
              <w:rPr>
                <w:rFonts w:asciiTheme="majorHAnsi" w:eastAsia="Calibri" w:hAnsiTheme="majorHAnsi" w:cstheme="majorHAnsi"/>
                <w:color w:val="000000"/>
                <w:sz w:val="18"/>
                <w:szCs w:val="18"/>
                <w:shd w:val="clear" w:color="auto" w:fill="FFFFFF"/>
              </w:rPr>
              <w:t>, należy dołączyć do oferty.</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4. Pamięć RAM</w:t>
            </w:r>
          </w:p>
        </w:tc>
        <w:tc>
          <w:tcPr>
            <w:tcW w:w="6679" w:type="dxa"/>
          </w:tcPr>
          <w:p w:rsidR="00BA6027" w:rsidRPr="005B102F" w:rsidRDefault="0087752C" w:rsidP="00CB1C59">
            <w:pPr>
              <w:spacing w:line="240" w:lineRule="exact"/>
              <w:jc w:val="both"/>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8GB DDR4 z możliwością rozbudowy do min. 16GB, dwa sloty pamięci (nie dopuszcza się pamięci wlutowanych). Możliwość rozbudowy pamięci przez użytkownika bez kontaktu z serwisem producenta.</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5. Pamięć masowa</w:t>
            </w:r>
          </w:p>
        </w:tc>
        <w:tc>
          <w:tcPr>
            <w:tcW w:w="6679" w:type="dxa"/>
          </w:tcPr>
          <w:p w:rsidR="00BA6027" w:rsidRPr="005B102F" w:rsidRDefault="000C2C4C" w:rsidP="00CB1C59">
            <w:pPr>
              <w:spacing w:line="240" w:lineRule="exact"/>
              <w:jc w:val="both"/>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Min. 256GB SSD</w:t>
            </w:r>
            <w:r w:rsidR="006709B7">
              <w:rPr>
                <w:rFonts w:asciiTheme="majorHAnsi" w:eastAsia="Calibri" w:hAnsiTheme="majorHAnsi" w:cstheme="majorHAnsi"/>
                <w:color w:val="000000"/>
                <w:sz w:val="18"/>
                <w:szCs w:val="18"/>
                <w:shd w:val="clear" w:color="auto" w:fill="FFFFFF"/>
              </w:rPr>
              <w:t xml:space="preserve"> M.2</w:t>
            </w:r>
            <w:r w:rsidRPr="005B102F">
              <w:rPr>
                <w:rFonts w:asciiTheme="majorHAnsi" w:eastAsia="Calibri" w:hAnsiTheme="majorHAnsi" w:cstheme="majorHAnsi"/>
                <w:color w:val="000000"/>
                <w:sz w:val="18"/>
                <w:szCs w:val="18"/>
                <w:shd w:val="clear" w:color="auto" w:fill="FFFFFF"/>
              </w:rPr>
              <w:t xml:space="preserve"> NVMe, fabryczna możliwość instalacji drugiego dysku 2,5 cala</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6. Karta graficzna</w:t>
            </w:r>
          </w:p>
        </w:tc>
        <w:tc>
          <w:tcPr>
            <w:tcW w:w="6679" w:type="dxa"/>
          </w:tcPr>
          <w:p w:rsidR="00DE4407" w:rsidRDefault="00DE4407" w:rsidP="00DE4407">
            <w:pPr>
              <w:spacing w:line="240" w:lineRule="exact"/>
              <w:jc w:val="both"/>
              <w:rPr>
                <w:rFonts w:asciiTheme="majorHAnsi" w:eastAsia="Calibri" w:hAnsiTheme="majorHAnsi" w:cstheme="majorHAnsi"/>
                <w:color w:val="2E74B5" w:themeColor="accent5" w:themeShade="BF"/>
                <w:sz w:val="18"/>
                <w:szCs w:val="18"/>
                <w:u w:val="single"/>
                <w:shd w:val="clear" w:color="auto" w:fill="FFFFFF"/>
              </w:rPr>
            </w:pPr>
            <w:r>
              <w:rPr>
                <w:rFonts w:asciiTheme="majorHAnsi" w:eastAsia="Calibri" w:hAnsiTheme="majorHAnsi" w:cstheme="majorHAnsi"/>
                <w:color w:val="000000"/>
                <w:sz w:val="18"/>
                <w:szCs w:val="18"/>
                <w:shd w:val="clear" w:color="auto" w:fill="FFFFFF"/>
              </w:rPr>
              <w:t>Zintegrowana w</w:t>
            </w:r>
            <w:r w:rsidR="000C2C4C" w:rsidRPr="005B102F">
              <w:rPr>
                <w:rFonts w:asciiTheme="majorHAnsi" w:eastAsia="Calibri" w:hAnsiTheme="majorHAnsi" w:cstheme="majorHAnsi"/>
                <w:color w:val="000000"/>
                <w:sz w:val="18"/>
                <w:szCs w:val="18"/>
                <w:shd w:val="clear" w:color="auto" w:fill="FFFFFF"/>
              </w:rPr>
              <w:t xml:space="preserve"> procesor</w:t>
            </w:r>
            <w:r>
              <w:rPr>
                <w:rFonts w:asciiTheme="majorHAnsi" w:eastAsia="Calibri" w:hAnsiTheme="majorHAnsi" w:cstheme="majorHAnsi"/>
                <w:color w:val="000000"/>
                <w:sz w:val="18"/>
                <w:szCs w:val="18"/>
                <w:shd w:val="clear" w:color="auto" w:fill="FFFFFF"/>
              </w:rPr>
              <w:t>ze z możliwością dynamicznego podzilenia pamięci systemowej ze sprzętowym wsparciem dla DirectX 12, osiągająca w teście Average G3D M</w:t>
            </w:r>
            <w:r w:rsidR="00D05808">
              <w:rPr>
                <w:rFonts w:asciiTheme="majorHAnsi" w:eastAsia="Calibri" w:hAnsiTheme="majorHAnsi" w:cstheme="majorHAnsi"/>
                <w:color w:val="000000"/>
                <w:sz w:val="18"/>
                <w:szCs w:val="18"/>
                <w:shd w:val="clear" w:color="auto" w:fill="FFFFFF"/>
              </w:rPr>
              <w:t>ark wyniki na poziomie min: 1590</w:t>
            </w:r>
            <w:r>
              <w:rPr>
                <w:rFonts w:asciiTheme="majorHAnsi" w:eastAsia="Calibri" w:hAnsiTheme="majorHAnsi" w:cstheme="majorHAnsi"/>
                <w:color w:val="000000"/>
                <w:sz w:val="18"/>
                <w:szCs w:val="18"/>
                <w:shd w:val="clear" w:color="auto" w:fill="FFFFFF"/>
              </w:rPr>
              <w:t xml:space="preserve"> punktów (wynik zaproponowanej grafiki musi znajdować się na stronie  </w:t>
            </w:r>
            <w:hyperlink r:id="rId9" w:history="1">
              <w:r w:rsidRPr="00C22F9C">
                <w:rPr>
                  <w:rStyle w:val="Hipercze"/>
                  <w:rFonts w:asciiTheme="majorHAnsi" w:eastAsia="Calibri" w:hAnsiTheme="majorHAnsi" w:cstheme="majorHAnsi"/>
                  <w:sz w:val="18"/>
                  <w:szCs w:val="18"/>
                  <w:shd w:val="clear" w:color="auto" w:fill="FFFFFF"/>
                </w:rPr>
                <w:t>https://www.videocardbenchmark.net/</w:t>
              </w:r>
            </w:hyperlink>
          </w:p>
          <w:p w:rsidR="00BA6027" w:rsidRPr="005B102F" w:rsidRDefault="00DE4407" w:rsidP="00DE4407">
            <w:pPr>
              <w:spacing w:line="240" w:lineRule="exact"/>
              <w:jc w:val="both"/>
              <w:rPr>
                <w:rFonts w:asciiTheme="majorHAnsi" w:eastAsia="Calibri" w:hAnsiTheme="majorHAnsi" w:cstheme="majorHAnsi"/>
                <w:color w:val="000000"/>
                <w:sz w:val="18"/>
                <w:szCs w:val="18"/>
                <w:shd w:val="clear" w:color="auto" w:fill="FFFFFF"/>
              </w:rPr>
            </w:pPr>
            <w:r w:rsidRPr="00DE4407">
              <w:rPr>
                <w:rFonts w:asciiTheme="majorHAnsi" w:eastAsia="Calibri" w:hAnsiTheme="majorHAnsi" w:cstheme="majorHAnsi"/>
                <w:sz w:val="18"/>
                <w:szCs w:val="18"/>
                <w:shd w:val="clear" w:color="auto" w:fill="FFFFFF"/>
              </w:rPr>
              <w:t xml:space="preserve">Wydruk </w:t>
            </w:r>
            <w:r>
              <w:rPr>
                <w:rFonts w:asciiTheme="majorHAnsi" w:eastAsia="Calibri" w:hAnsiTheme="majorHAnsi" w:cstheme="majorHAnsi"/>
                <w:sz w:val="18"/>
                <w:szCs w:val="18"/>
                <w:shd w:val="clear" w:color="auto" w:fill="FFFFFF"/>
              </w:rPr>
              <w:t>ze strony należy dołączyć do oferty.</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7. Multimedia</w:t>
            </w:r>
          </w:p>
        </w:tc>
        <w:tc>
          <w:tcPr>
            <w:tcW w:w="6679" w:type="dxa"/>
          </w:tcPr>
          <w:p w:rsidR="00BA6027" w:rsidRPr="005B102F" w:rsidRDefault="00DE4407" w:rsidP="00CB1C59">
            <w:pPr>
              <w:spacing w:line="240" w:lineRule="exact"/>
              <w:jc w:val="both"/>
              <w:rPr>
                <w:rFonts w:asciiTheme="majorHAnsi" w:eastAsia="Calibri" w:hAnsiTheme="majorHAnsi" w:cstheme="majorHAnsi"/>
                <w:color w:val="000000"/>
                <w:sz w:val="18"/>
                <w:szCs w:val="18"/>
                <w:shd w:val="clear" w:color="auto" w:fill="FFFFFF"/>
              </w:rPr>
            </w:pPr>
            <w:r>
              <w:rPr>
                <w:rFonts w:asciiTheme="majorHAnsi" w:eastAsia="Calibri" w:hAnsiTheme="majorHAnsi" w:cstheme="majorHAnsi"/>
                <w:color w:val="000000"/>
                <w:sz w:val="18"/>
                <w:szCs w:val="18"/>
                <w:shd w:val="clear" w:color="auto" w:fill="FFFFFF"/>
              </w:rPr>
              <w:t>K</w:t>
            </w:r>
            <w:r w:rsidR="000C2C4C" w:rsidRPr="005B102F">
              <w:rPr>
                <w:rFonts w:asciiTheme="majorHAnsi" w:eastAsia="Calibri" w:hAnsiTheme="majorHAnsi" w:cstheme="majorHAnsi"/>
                <w:color w:val="000000"/>
                <w:sz w:val="18"/>
                <w:szCs w:val="18"/>
                <w:shd w:val="clear" w:color="auto" w:fill="FFFFFF"/>
              </w:rPr>
              <w:t>arta dźwiękowa zintegrowana z płytą główną, zgodna z High Definition, wbudowane głośniki stereo o mocy min. 2 x 2W, cyfrowy mikrofon z funkcją redukcji szumów i poprawy mowy</w:t>
            </w:r>
            <w:r w:rsidR="00E148AE" w:rsidRPr="005B102F">
              <w:rPr>
                <w:rFonts w:asciiTheme="majorHAnsi" w:eastAsia="Calibri" w:hAnsiTheme="majorHAnsi" w:cstheme="majorHAnsi"/>
                <w:color w:val="000000"/>
                <w:sz w:val="18"/>
                <w:szCs w:val="18"/>
                <w:shd w:val="clear" w:color="auto" w:fill="FFFFFF"/>
              </w:rPr>
              <w:t xml:space="preserve"> wbudowany w obudowę matrycy. Kamera internetowa o rozdzielczości min. HD trwale zainstalowana w obudowie matrycy, dioda informująca użytkownika o aktywnej kamerze</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8. Bateria i zasilanie</w:t>
            </w:r>
          </w:p>
        </w:tc>
        <w:tc>
          <w:tcPr>
            <w:tcW w:w="6679" w:type="dxa"/>
          </w:tcPr>
          <w:p w:rsidR="00BA6027" w:rsidRPr="005B102F" w:rsidRDefault="002F6E81" w:rsidP="00CB1C59">
            <w:pPr>
              <w:spacing w:line="240" w:lineRule="exact"/>
              <w:jc w:val="both"/>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 xml:space="preserve">Czas pracy na </w:t>
            </w:r>
            <w:r w:rsidR="00D05808">
              <w:rPr>
                <w:rFonts w:asciiTheme="majorHAnsi" w:eastAsia="Calibri" w:hAnsiTheme="majorHAnsi" w:cstheme="majorHAnsi"/>
                <w:color w:val="000000"/>
                <w:sz w:val="18"/>
                <w:szCs w:val="18"/>
                <w:shd w:val="clear" w:color="auto" w:fill="FFFFFF"/>
              </w:rPr>
              <w:t>baterii min. 48</w:t>
            </w:r>
            <w:r w:rsidRPr="005B102F">
              <w:rPr>
                <w:rFonts w:asciiTheme="majorHAnsi" w:eastAsia="Calibri" w:hAnsiTheme="majorHAnsi" w:cstheme="majorHAnsi"/>
                <w:color w:val="000000"/>
                <w:sz w:val="18"/>
                <w:szCs w:val="18"/>
                <w:shd w:val="clear" w:color="auto" w:fill="FFFFFF"/>
              </w:rPr>
              <w:t>0 minut. Zasilacz o mocy min. 60W. Konstrukcja komputera musi umożliwiać demontaż samej baterii lub wszystkich zainstalowanych baterii samodzielnie bez udziału serwisu w okresie gwarancji. Bateria nie może być trwale zespolona z płytą główną.</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9. Waga</w:t>
            </w:r>
          </w:p>
        </w:tc>
        <w:tc>
          <w:tcPr>
            <w:tcW w:w="6679" w:type="dxa"/>
          </w:tcPr>
          <w:p w:rsidR="00BA6027" w:rsidRPr="005B102F" w:rsidRDefault="00FE4C4E" w:rsidP="00CB1C59">
            <w:pPr>
              <w:spacing w:line="240" w:lineRule="exact"/>
              <w:jc w:val="both"/>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Z baterią nie większa niż 2</w:t>
            </w:r>
            <w:r w:rsidR="00D05808">
              <w:rPr>
                <w:rFonts w:asciiTheme="majorHAnsi" w:eastAsia="Calibri" w:hAnsiTheme="majorHAnsi" w:cstheme="majorHAnsi"/>
                <w:color w:val="000000"/>
                <w:sz w:val="18"/>
                <w:szCs w:val="18"/>
                <w:shd w:val="clear" w:color="auto" w:fill="FFFFFF"/>
              </w:rPr>
              <w:t>,1</w:t>
            </w:r>
            <w:r w:rsidRPr="005B102F">
              <w:rPr>
                <w:rFonts w:asciiTheme="majorHAnsi" w:eastAsia="Calibri" w:hAnsiTheme="majorHAnsi" w:cstheme="majorHAnsi"/>
                <w:color w:val="000000"/>
                <w:sz w:val="18"/>
                <w:szCs w:val="18"/>
                <w:shd w:val="clear" w:color="auto" w:fill="FFFFFF"/>
              </w:rPr>
              <w:t xml:space="preserve"> kg</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10. Obudowa</w:t>
            </w:r>
          </w:p>
        </w:tc>
        <w:tc>
          <w:tcPr>
            <w:tcW w:w="6679" w:type="dxa"/>
          </w:tcPr>
          <w:p w:rsidR="00BA6027" w:rsidRPr="005B102F" w:rsidRDefault="00FE4C4E" w:rsidP="00CB1C59">
            <w:pPr>
              <w:spacing w:line="240" w:lineRule="exact"/>
              <w:jc w:val="both"/>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Obudowa wzmocniona, szkielet i zawiasy laptopa wykonane z wzmacnianego metalu</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11. BIOS</w:t>
            </w:r>
          </w:p>
        </w:tc>
        <w:tc>
          <w:tcPr>
            <w:tcW w:w="6679" w:type="dxa"/>
          </w:tcPr>
          <w:p w:rsidR="00BA6027" w:rsidRPr="005B102F" w:rsidRDefault="00EF63C8" w:rsidP="00CB1C59">
            <w:pPr>
              <w:spacing w:line="240" w:lineRule="exact"/>
              <w:jc w:val="both"/>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BIOS zgodny ze specyfikacją UEFI, pełna obsługa za pomocą klawiatury i myszy. BIOS musi umożliwiać przeprowadzenie inwentaryzacji sprzętowej poprzez wyświetlenie informacji o wersji BIOS, numerze seryjnym i dacie produkcji komputera, wielkości, prędkości i sposobie obsadzenia zainstalowanej pamięci RAM, typie zainstalowanego procesora, dysku twardym (pojemność, model), MAC adresie karty sieciowej. Funkcja blokowania portów USB. Możliwość ustawienia hasła administratora BIOS.</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12. Bezpieczeństwo</w:t>
            </w:r>
          </w:p>
        </w:tc>
        <w:tc>
          <w:tcPr>
            <w:tcW w:w="6679" w:type="dxa"/>
          </w:tcPr>
          <w:p w:rsidR="00BA6027" w:rsidRPr="005B102F" w:rsidRDefault="006709B7" w:rsidP="00CB1C59">
            <w:pPr>
              <w:spacing w:line="240" w:lineRule="exact"/>
              <w:jc w:val="both"/>
              <w:rPr>
                <w:rFonts w:asciiTheme="majorHAnsi" w:eastAsia="Calibri" w:hAnsiTheme="majorHAnsi" w:cstheme="majorHAnsi"/>
                <w:color w:val="000000"/>
                <w:sz w:val="18"/>
                <w:szCs w:val="18"/>
                <w:shd w:val="clear" w:color="auto" w:fill="FFFFFF"/>
              </w:rPr>
            </w:pPr>
            <w:r>
              <w:rPr>
                <w:rFonts w:asciiTheme="majorHAnsi" w:eastAsia="Calibri" w:hAnsiTheme="majorHAnsi" w:cstheme="majorHAnsi"/>
                <w:color w:val="000000"/>
                <w:sz w:val="18"/>
                <w:szCs w:val="18"/>
                <w:shd w:val="clear" w:color="auto" w:fill="FFFFFF"/>
              </w:rPr>
              <w:t>FW TPM 2.0</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13. Certyfikaty</w:t>
            </w:r>
          </w:p>
        </w:tc>
        <w:tc>
          <w:tcPr>
            <w:tcW w:w="6679" w:type="dxa"/>
          </w:tcPr>
          <w:p w:rsidR="00BA6027" w:rsidRPr="005B102F" w:rsidRDefault="00DA2DA0" w:rsidP="00CB1C59">
            <w:pPr>
              <w:spacing w:line="240" w:lineRule="exact"/>
              <w:jc w:val="both"/>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Deklaracja zgodności CE</w:t>
            </w: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t>14. System operacyjny</w:t>
            </w:r>
          </w:p>
        </w:tc>
        <w:tc>
          <w:tcPr>
            <w:tcW w:w="6679" w:type="dxa"/>
          </w:tcPr>
          <w:p w:rsidR="00CB1C59" w:rsidRPr="005B102F" w:rsidRDefault="00DA2DA0" w:rsidP="00CB1C59">
            <w:pPr>
              <w:spacing w:line="0" w:lineRule="atLeast"/>
              <w:ind w:left="120"/>
              <w:jc w:val="both"/>
              <w:rPr>
                <w:rFonts w:asciiTheme="majorHAnsi" w:eastAsia="Times New Roman" w:hAnsiTheme="majorHAnsi" w:cstheme="majorHAnsi"/>
                <w:sz w:val="18"/>
                <w:szCs w:val="18"/>
              </w:rPr>
            </w:pPr>
            <w:r w:rsidRPr="005B102F">
              <w:rPr>
                <w:rFonts w:asciiTheme="majorHAnsi" w:eastAsia="Calibri" w:hAnsiTheme="majorHAnsi" w:cstheme="majorHAnsi"/>
                <w:color w:val="000000"/>
                <w:sz w:val="18"/>
                <w:szCs w:val="18"/>
                <w:shd w:val="clear" w:color="auto" w:fill="FFFFFF"/>
              </w:rPr>
              <w:t>System operacyjny klasy PC</w:t>
            </w:r>
            <w:r w:rsidR="00AA47CB" w:rsidRPr="005B102F">
              <w:rPr>
                <w:rFonts w:asciiTheme="majorHAnsi" w:eastAsia="Calibri" w:hAnsiTheme="majorHAnsi" w:cstheme="majorHAnsi"/>
                <w:color w:val="000000"/>
                <w:sz w:val="18"/>
                <w:szCs w:val="18"/>
                <w:shd w:val="clear" w:color="auto" w:fill="FFFFFF"/>
              </w:rPr>
              <w:t xml:space="preserve"> musi spełniać poniższe wymagania poprzez wbudowane mechanizmy, bez użycia dodatkowych aplikacji. Możliwość dokonywania aktualizacji i poprawek systemu poprzez Internet oraz dodatkowo z możliwością wyboru </w:t>
            </w:r>
            <w:r w:rsidR="00AA47CB" w:rsidRPr="005B102F">
              <w:rPr>
                <w:rFonts w:asciiTheme="majorHAnsi" w:eastAsia="Calibri" w:hAnsiTheme="majorHAnsi" w:cstheme="majorHAnsi"/>
                <w:color w:val="000000"/>
                <w:sz w:val="18"/>
                <w:szCs w:val="18"/>
                <w:shd w:val="clear" w:color="auto" w:fill="FFFFFF"/>
              </w:rPr>
              <w:lastRenderedPageBreak/>
              <w:t xml:space="preserve">instalowanych poprawek. Możliwość dokonywania uaktualnień sterowników urządzeń przez Internet – witrynę producenta systemu. Darmowe aktualizacje w ramach wersji systemu operacyjnego przez Internet. System musi umożliwiać pracę w domenie. Wymagane jest aby dostarczona licencja na system operacyjny dopuszczała wsparcie, które nie wygasa wcześniej niż 1 stycznia 2025r. Internetowa aktualizacja zapewniona w języku polskim. Wbudowana zapora </w:t>
            </w:r>
            <w:r w:rsidR="001B64A6" w:rsidRPr="005B102F">
              <w:rPr>
                <w:rFonts w:asciiTheme="majorHAnsi" w:eastAsia="Calibri" w:hAnsiTheme="majorHAnsi" w:cstheme="majorHAnsi"/>
                <w:color w:val="000000"/>
                <w:sz w:val="18"/>
                <w:szCs w:val="18"/>
                <w:shd w:val="clear" w:color="auto" w:fill="FFFFFF"/>
              </w:rPr>
              <w:t xml:space="preserve">internetowa (firewall) dla ochrony połączeń internetowych zintegrowana z systemem konsola do zarządzania ustawieniami zapory i regułami IPv4 i IPv6. Wbudowane narzędzie do szyfrowania dysków w oparciu o TPM komputera. Wszystkie elementy systemu operacyjnego w tym meny, odtwarzacze, pomoc, komunikaty i powiadomienia w języku polskim. Wsparcie i współpraca z powszechnie używanymi urządzeniami peryferyjnymi (drukarkami, urządzeniami sieciowymi, urządzeniami standardów USB, Plug&amp;Play, Wi-Fi). </w:t>
            </w:r>
            <w:r w:rsidR="00CB1C59" w:rsidRPr="005B102F">
              <w:rPr>
                <w:rFonts w:asciiTheme="majorHAnsi" w:eastAsia="Times New Roman" w:hAnsiTheme="majorHAnsi" w:cstheme="majorHAnsi"/>
                <w:sz w:val="18"/>
                <w:szCs w:val="18"/>
              </w:rPr>
              <w:t xml:space="preserve">Funkcjonalność automatycznej zmiany domyślnej drukarki w zależności od sieci, do której podłączony jest komputer. Interfejs użytkownika działający w trybie graficznym z elementami 3D, zintegrowana z interfejsem użytkownika interaktywna część pulpitu służącą do uruchamiania aplikacji, które użytkownik może dowolnie wymieniać i pobrać ze strony producenta.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Zintegrowany z systemem operacyjnym moduł synchronizacji komputera z urządzeniami zewnętrznymi. Możliwość przystosowania stanowiska dla osób niepełnosprawnych (np. słabo widzących). Zarządzanie stacją roboczą poprzez polityki rozumiane jako zestaw reguł definiujących lub ograniczających funkcjonalność systemu lub aplikacji. Wdrażanie IPSEC oparte na politykach – wdrażanie IPSEC oparte na zestawach reguł definiujących ustawienia zarządzanych w sposób centralny. Wsparcie dla Sun Java i .NET Framework 1.1 i 2.0 i 3.0, 4.0, 5.0 – możliwość uruchomienia aplikacji działających we wskazanych środowiskach. Wsparcie dla JScript i VBScript – możliwość uruchamiania interpretera poleceń. Zdalna pomoc i współdzielenie aplikacji – możliwość zdalnego przejęcia sesji zalogowanego użytkownika celem rozwiązania problemu z komputerem. Rozwiązanie służące do automatycznego zbudowania obrazu systemu wraz z aplikacjami. Obraz systemu służyć ma do automatycznego upowszechnienia systemu operacyjnego inicjowanego i wykonywanego w całości poprzez sieć komputerową. Rozwiązanie umożliwiające wdrożenie nowego obrazu poprzez zdalną instalację. Graficzne środowisko instalacji i konfiguracji. Transakcyjny system plików pozwalający na stosowanie przydziałów (ang. quota) na dysku dla użytkowników oraz zapewniający większą niezawodność i pozwalający tworzyć kopie zapasowe. Zarządzanie  kontami  użytkowników  sieci  oraz  urządzeniami  sieciowymi  tj.  drukarki,  modemy, woluminy dyskowe, usługi katalogowe. Możliwość przywracania plików systemowych. 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 System musi posiadać możliwość blokowania lub dopuszczania dowolnych urządzeń peryferyjnych za pomocą polityk grupowych (np. przy użyciu numerów identyfikacyjnych sprzętu). </w:t>
            </w:r>
          </w:p>
          <w:p w:rsidR="00BA6027" w:rsidRPr="005B102F" w:rsidRDefault="00BA6027" w:rsidP="00CB1C59">
            <w:pPr>
              <w:spacing w:line="240" w:lineRule="exact"/>
              <w:jc w:val="both"/>
              <w:rPr>
                <w:rFonts w:asciiTheme="majorHAnsi" w:eastAsia="Calibri" w:hAnsiTheme="majorHAnsi" w:cstheme="majorHAnsi"/>
                <w:color w:val="000000"/>
                <w:sz w:val="18"/>
                <w:szCs w:val="18"/>
                <w:shd w:val="clear" w:color="auto" w:fill="FFFFFF"/>
              </w:rPr>
            </w:pPr>
          </w:p>
        </w:tc>
      </w:tr>
      <w:tr w:rsidR="00BA6027" w:rsidRPr="005B102F" w:rsidTr="00BB19E2">
        <w:tc>
          <w:tcPr>
            <w:tcW w:w="1951" w:type="dxa"/>
          </w:tcPr>
          <w:p w:rsidR="00BA6027" w:rsidRPr="005B102F" w:rsidRDefault="00BA6027"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lastRenderedPageBreak/>
              <w:t>15. Wymagania dodatkowe</w:t>
            </w:r>
          </w:p>
        </w:tc>
        <w:tc>
          <w:tcPr>
            <w:tcW w:w="6679" w:type="dxa"/>
          </w:tcPr>
          <w:p w:rsidR="00FA4B1D" w:rsidRDefault="00CB1C59" w:rsidP="00CB1C59">
            <w:pPr>
              <w:spacing w:line="216" w:lineRule="exact"/>
              <w:ind w:left="120"/>
              <w:jc w:val="both"/>
              <w:rPr>
                <w:rFonts w:asciiTheme="majorHAnsi" w:eastAsia="Times New Roman" w:hAnsiTheme="majorHAnsi" w:cstheme="majorHAnsi"/>
                <w:sz w:val="18"/>
                <w:szCs w:val="18"/>
              </w:rPr>
            </w:pPr>
            <w:r w:rsidRPr="005B102F">
              <w:rPr>
                <w:rFonts w:asciiTheme="majorHAnsi" w:eastAsia="Times New Roman" w:hAnsiTheme="majorHAnsi" w:cstheme="majorHAnsi"/>
                <w:sz w:val="18"/>
                <w:szCs w:val="18"/>
              </w:rPr>
              <w:t xml:space="preserve">Wbudowane porty i złącza: </w:t>
            </w:r>
          </w:p>
          <w:p w:rsidR="00FA4B1D" w:rsidRDefault="00FA4B1D" w:rsidP="00CB1C59">
            <w:pPr>
              <w:spacing w:line="216" w:lineRule="exact"/>
              <w:ind w:left="120"/>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1x </w:t>
            </w:r>
            <w:r w:rsidR="00CB1C59" w:rsidRPr="005B102F">
              <w:rPr>
                <w:rFonts w:asciiTheme="majorHAnsi" w:eastAsia="Times New Roman" w:hAnsiTheme="majorHAnsi" w:cstheme="majorHAnsi"/>
                <w:sz w:val="18"/>
                <w:szCs w:val="18"/>
              </w:rPr>
              <w:t>HDMI</w:t>
            </w:r>
          </w:p>
          <w:p w:rsidR="00FA4B1D" w:rsidRDefault="00FA4B1D" w:rsidP="00CB1C59">
            <w:pPr>
              <w:spacing w:line="216" w:lineRule="exact"/>
              <w:ind w:left="120"/>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min. 2 szt. USB Typ-A</w:t>
            </w:r>
          </w:p>
          <w:p w:rsidR="00FA4B1D" w:rsidRDefault="00FA4B1D" w:rsidP="00CB1C59">
            <w:pPr>
              <w:spacing w:line="216" w:lineRule="exact"/>
              <w:ind w:left="120"/>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min. 1 szt. USB Typ-C</w:t>
            </w:r>
          </w:p>
          <w:p w:rsidR="00FA4B1D" w:rsidRDefault="00FA4B1D" w:rsidP="00FA4B1D">
            <w:pPr>
              <w:spacing w:line="216" w:lineRule="exact"/>
              <w:ind w:left="120"/>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1 x RJ-45, 1 x </w:t>
            </w:r>
            <w:r w:rsidR="00CB1C59" w:rsidRPr="005B102F">
              <w:rPr>
                <w:rFonts w:asciiTheme="majorHAnsi" w:eastAsia="Times New Roman" w:hAnsiTheme="majorHAnsi" w:cstheme="majorHAnsi"/>
                <w:sz w:val="18"/>
                <w:szCs w:val="18"/>
              </w:rPr>
              <w:t>złącze słuchawkowe stereo i złącze mikrofonowe</w:t>
            </w:r>
            <w:r>
              <w:rPr>
                <w:rFonts w:asciiTheme="majorHAnsi" w:eastAsia="Times New Roman" w:hAnsiTheme="majorHAnsi" w:cstheme="majorHAnsi"/>
                <w:sz w:val="18"/>
                <w:szCs w:val="18"/>
              </w:rPr>
              <w:t xml:space="preserve"> (dopuszcza się złącze typu COMBO),</w:t>
            </w:r>
          </w:p>
          <w:p w:rsidR="00FA4B1D" w:rsidRDefault="00FA4B1D" w:rsidP="00FA4B1D">
            <w:pPr>
              <w:spacing w:line="216" w:lineRule="exact"/>
              <w:ind w:left="120"/>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czytnik kart multimedialnych SD/SDHC/SDXC</w:t>
            </w:r>
          </w:p>
          <w:p w:rsidR="00FA4B1D" w:rsidRDefault="00CB1C59" w:rsidP="00FA4B1D">
            <w:pPr>
              <w:spacing w:line="216" w:lineRule="exact"/>
              <w:ind w:left="120"/>
              <w:jc w:val="both"/>
              <w:rPr>
                <w:rFonts w:asciiTheme="majorHAnsi" w:eastAsia="Times New Roman" w:hAnsiTheme="majorHAnsi" w:cstheme="majorHAnsi"/>
                <w:sz w:val="18"/>
                <w:szCs w:val="18"/>
              </w:rPr>
            </w:pPr>
            <w:r w:rsidRPr="005B102F">
              <w:rPr>
                <w:rFonts w:asciiTheme="majorHAnsi" w:eastAsia="Times New Roman" w:hAnsiTheme="majorHAnsi" w:cstheme="majorHAnsi"/>
                <w:sz w:val="18"/>
                <w:szCs w:val="18"/>
              </w:rPr>
              <w:lastRenderedPageBreak/>
              <w:t>karta sieci</w:t>
            </w:r>
            <w:r w:rsidR="00FA4B1D">
              <w:rPr>
                <w:rFonts w:asciiTheme="majorHAnsi" w:eastAsia="Times New Roman" w:hAnsiTheme="majorHAnsi" w:cstheme="majorHAnsi"/>
                <w:sz w:val="18"/>
                <w:szCs w:val="18"/>
              </w:rPr>
              <w:t>owa LAN 10/100/1000 Ethernet RJ zintegrowana z płytą główną,</w:t>
            </w:r>
          </w:p>
          <w:p w:rsidR="00BA6027" w:rsidRDefault="00FA4B1D" w:rsidP="00FC4757">
            <w:pPr>
              <w:spacing w:line="216" w:lineRule="exact"/>
              <w:ind w:left="120"/>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k</w:t>
            </w:r>
            <w:r w:rsidR="00CB1C59" w:rsidRPr="005B102F">
              <w:rPr>
                <w:rFonts w:asciiTheme="majorHAnsi" w:eastAsia="Times New Roman" w:hAnsiTheme="majorHAnsi" w:cstheme="majorHAnsi"/>
                <w:sz w:val="18"/>
                <w:szCs w:val="18"/>
              </w:rPr>
              <w:t>lawiatura  (układ  US  -  QWERTY)  z</w:t>
            </w:r>
            <w:r>
              <w:rPr>
                <w:rFonts w:asciiTheme="majorHAnsi" w:eastAsia="Times New Roman" w:hAnsiTheme="majorHAnsi" w:cstheme="majorHAnsi"/>
                <w:sz w:val="18"/>
                <w:szCs w:val="18"/>
              </w:rPr>
              <w:t xml:space="preserve"> </w:t>
            </w:r>
            <w:r w:rsidR="00CB1C59" w:rsidRPr="005B102F">
              <w:rPr>
                <w:rFonts w:asciiTheme="majorHAnsi" w:eastAsia="Times New Roman" w:hAnsiTheme="majorHAnsi" w:cstheme="majorHAnsi"/>
                <w:sz w:val="18"/>
                <w:szCs w:val="18"/>
              </w:rPr>
              <w:t>wydzieloną  klawiaturą</w:t>
            </w:r>
            <w:r>
              <w:rPr>
                <w:rFonts w:asciiTheme="majorHAnsi" w:eastAsia="Times New Roman" w:hAnsiTheme="majorHAnsi" w:cstheme="majorHAnsi"/>
                <w:sz w:val="18"/>
                <w:szCs w:val="18"/>
              </w:rPr>
              <w:t xml:space="preserve"> </w:t>
            </w:r>
            <w:r w:rsidR="00CB1C59" w:rsidRPr="005B102F">
              <w:rPr>
                <w:rFonts w:asciiTheme="majorHAnsi" w:eastAsia="Times New Roman" w:hAnsiTheme="majorHAnsi" w:cstheme="majorHAnsi"/>
                <w:sz w:val="18"/>
                <w:szCs w:val="18"/>
              </w:rPr>
              <w:t>numeryczną, touchpad</w:t>
            </w:r>
            <w:r w:rsidR="00FC4757">
              <w:rPr>
                <w:rFonts w:asciiTheme="majorHAnsi" w:eastAsia="Times New Roman" w:hAnsiTheme="majorHAnsi" w:cstheme="majorHAnsi"/>
                <w:sz w:val="18"/>
                <w:szCs w:val="18"/>
              </w:rPr>
              <w:t>.</w:t>
            </w:r>
          </w:p>
          <w:p w:rsidR="00FC4757" w:rsidRPr="005B102F" w:rsidRDefault="00FC4757" w:rsidP="00FC4757">
            <w:pPr>
              <w:spacing w:line="216" w:lineRule="exact"/>
              <w:ind w:left="120"/>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Wymagana ilość portów nie </w:t>
            </w:r>
            <w:r w:rsidR="005114AE">
              <w:rPr>
                <w:rFonts w:asciiTheme="majorHAnsi" w:eastAsia="Times New Roman" w:hAnsiTheme="majorHAnsi" w:cstheme="majorHAnsi"/>
                <w:sz w:val="18"/>
                <w:szCs w:val="18"/>
              </w:rPr>
              <w:t>może</w:t>
            </w:r>
            <w:r>
              <w:rPr>
                <w:rFonts w:asciiTheme="majorHAnsi" w:eastAsia="Times New Roman" w:hAnsiTheme="majorHAnsi" w:cstheme="majorHAnsi"/>
                <w:sz w:val="18"/>
                <w:szCs w:val="18"/>
              </w:rPr>
              <w:t xml:space="preserve"> być </w:t>
            </w:r>
            <w:r w:rsidR="005114AE">
              <w:rPr>
                <w:rFonts w:asciiTheme="majorHAnsi" w:eastAsia="Times New Roman" w:hAnsiTheme="majorHAnsi" w:cstheme="majorHAnsi"/>
                <w:sz w:val="18"/>
                <w:szCs w:val="18"/>
              </w:rPr>
              <w:t>osiągnięta</w:t>
            </w:r>
            <w:r>
              <w:rPr>
                <w:rFonts w:asciiTheme="majorHAnsi" w:eastAsia="Times New Roman" w:hAnsiTheme="majorHAnsi" w:cstheme="majorHAnsi"/>
                <w:sz w:val="18"/>
                <w:szCs w:val="18"/>
              </w:rPr>
              <w:t xml:space="preserve"> w wyniku stosowania konwerterów, przejściówek.</w:t>
            </w:r>
          </w:p>
        </w:tc>
      </w:tr>
      <w:tr w:rsidR="00BA6027" w:rsidRPr="005B102F" w:rsidTr="00BB19E2">
        <w:tc>
          <w:tcPr>
            <w:tcW w:w="1951" w:type="dxa"/>
          </w:tcPr>
          <w:p w:rsidR="00BA6027" w:rsidRPr="005B102F" w:rsidRDefault="004F7158" w:rsidP="00BB19E2">
            <w:pPr>
              <w:spacing w:line="240" w:lineRule="exact"/>
              <w:rPr>
                <w:rFonts w:asciiTheme="majorHAnsi" w:eastAsia="Calibri" w:hAnsiTheme="majorHAnsi" w:cstheme="majorHAnsi"/>
                <w:color w:val="000000"/>
                <w:sz w:val="18"/>
                <w:szCs w:val="18"/>
                <w:shd w:val="clear" w:color="auto" w:fill="FFFFFF"/>
              </w:rPr>
            </w:pPr>
            <w:r w:rsidRPr="005B102F">
              <w:rPr>
                <w:rFonts w:asciiTheme="majorHAnsi" w:eastAsia="Calibri" w:hAnsiTheme="majorHAnsi" w:cstheme="majorHAnsi"/>
                <w:color w:val="000000"/>
                <w:sz w:val="18"/>
                <w:szCs w:val="18"/>
                <w:shd w:val="clear" w:color="auto" w:fill="FFFFFF"/>
              </w:rPr>
              <w:lastRenderedPageBreak/>
              <w:t>16. Warunki gwarancji</w:t>
            </w:r>
          </w:p>
        </w:tc>
        <w:tc>
          <w:tcPr>
            <w:tcW w:w="6679" w:type="dxa"/>
          </w:tcPr>
          <w:p w:rsidR="00BA6027" w:rsidRPr="005B102F" w:rsidRDefault="00CB1C59" w:rsidP="00FC4757">
            <w:pPr>
              <w:spacing w:line="216" w:lineRule="exact"/>
              <w:ind w:left="120"/>
              <w:jc w:val="both"/>
              <w:rPr>
                <w:rFonts w:asciiTheme="majorHAnsi" w:eastAsia="Times New Roman" w:hAnsiTheme="majorHAnsi" w:cstheme="majorHAnsi"/>
                <w:sz w:val="18"/>
                <w:szCs w:val="18"/>
              </w:rPr>
            </w:pPr>
            <w:r w:rsidRPr="005B102F">
              <w:rPr>
                <w:rFonts w:asciiTheme="majorHAnsi" w:eastAsia="Times New Roman" w:hAnsiTheme="majorHAnsi" w:cstheme="majorHAnsi"/>
                <w:sz w:val="18"/>
                <w:szCs w:val="18"/>
              </w:rPr>
              <w:t>2-letnia gwarancja producenta</w:t>
            </w:r>
            <w:r w:rsidR="00A94CB0" w:rsidRPr="00CB1C59">
              <w:rPr>
                <w:rFonts w:ascii="Open Sans" w:eastAsia="Times New Roman" w:hAnsi="Open Sans" w:cs="Open Sans"/>
                <w:sz w:val="18"/>
                <w:szCs w:val="18"/>
              </w:rPr>
              <w:t xml:space="preserve"> </w:t>
            </w:r>
            <w:r w:rsidR="00A94CB0">
              <w:rPr>
                <w:rFonts w:asciiTheme="majorHAnsi" w:eastAsia="Times New Roman" w:hAnsiTheme="majorHAnsi" w:cstheme="majorHAnsi"/>
                <w:sz w:val="18"/>
                <w:szCs w:val="18"/>
              </w:rPr>
              <w:t>świadczona na miejscu u klienta lub D2D</w:t>
            </w:r>
            <w:r w:rsidR="00FC4757" w:rsidRPr="00A94CB0">
              <w:rPr>
                <w:rFonts w:asciiTheme="majorHAnsi" w:eastAsia="Times New Roman" w:hAnsiTheme="majorHAnsi" w:cstheme="majorHAnsi"/>
                <w:sz w:val="18"/>
                <w:szCs w:val="18"/>
              </w:rPr>
              <w:t>.</w:t>
            </w:r>
            <w:r w:rsidR="00FC4757">
              <w:rPr>
                <w:rFonts w:asciiTheme="majorHAnsi" w:eastAsia="Times New Roman" w:hAnsiTheme="majorHAnsi" w:cstheme="majorHAnsi"/>
                <w:sz w:val="18"/>
                <w:szCs w:val="18"/>
              </w:rPr>
              <w:t xml:space="preserve"> Serwis urządzeń musi być realizowany przez producenta lub Autoryzowanego Partnera Serwisowego. Możliwość</w:t>
            </w:r>
            <w:r w:rsidRPr="005B102F">
              <w:rPr>
                <w:rFonts w:asciiTheme="majorHAnsi" w:eastAsia="Times New Roman" w:hAnsiTheme="majorHAnsi" w:cstheme="majorHAnsi"/>
                <w:sz w:val="18"/>
                <w:szCs w:val="18"/>
              </w:rPr>
              <w:t xml:space="preserve">  </w:t>
            </w:r>
            <w:r w:rsidR="00FC4757">
              <w:rPr>
                <w:rFonts w:asciiTheme="majorHAnsi" w:eastAsia="Times New Roman" w:hAnsiTheme="majorHAnsi" w:cstheme="majorHAnsi"/>
                <w:sz w:val="18"/>
                <w:szCs w:val="18"/>
              </w:rPr>
              <w:t>sprawdzenia</w:t>
            </w:r>
            <w:r w:rsidRPr="005B102F">
              <w:rPr>
                <w:rFonts w:asciiTheme="majorHAnsi" w:eastAsia="Times New Roman" w:hAnsiTheme="majorHAnsi" w:cstheme="majorHAnsi"/>
                <w:sz w:val="18"/>
                <w:szCs w:val="18"/>
              </w:rPr>
              <w:t xml:space="preserve">  okresu  gwarancji  i  fabrycznej</w:t>
            </w:r>
            <w:r w:rsidR="00FC4757">
              <w:rPr>
                <w:rFonts w:asciiTheme="majorHAnsi" w:eastAsia="Times New Roman" w:hAnsiTheme="majorHAnsi" w:cstheme="majorHAnsi"/>
                <w:sz w:val="18"/>
                <w:szCs w:val="18"/>
              </w:rPr>
              <w:t xml:space="preserve"> </w:t>
            </w:r>
            <w:r w:rsidRPr="005B102F">
              <w:rPr>
                <w:rFonts w:asciiTheme="majorHAnsi" w:eastAsia="Times New Roman" w:hAnsiTheme="majorHAnsi" w:cstheme="majorHAnsi"/>
                <w:sz w:val="18"/>
                <w:szCs w:val="18"/>
              </w:rPr>
              <w:t>konfiguracji</w:t>
            </w:r>
            <w:r w:rsidR="00FC4757">
              <w:rPr>
                <w:rFonts w:asciiTheme="majorHAnsi" w:eastAsia="Times New Roman" w:hAnsiTheme="majorHAnsi" w:cstheme="majorHAnsi"/>
                <w:sz w:val="18"/>
                <w:szCs w:val="18"/>
              </w:rPr>
              <w:t xml:space="preserve"> po podaniu numeru seryjnego bezpośrednio na stronie producenta</w:t>
            </w:r>
            <w:r w:rsidRPr="005B102F">
              <w:rPr>
                <w:rFonts w:asciiTheme="majorHAnsi" w:eastAsia="Times New Roman" w:hAnsiTheme="majorHAnsi" w:cstheme="majorHAnsi"/>
                <w:sz w:val="18"/>
                <w:szCs w:val="18"/>
              </w:rPr>
              <w:t>.</w:t>
            </w:r>
          </w:p>
        </w:tc>
      </w:tr>
    </w:tbl>
    <w:p w:rsidR="00BA6027" w:rsidRPr="00BA6027" w:rsidRDefault="00BA6027" w:rsidP="00BA6027">
      <w:pPr>
        <w:spacing w:line="240" w:lineRule="exact"/>
        <w:jc w:val="center"/>
        <w:rPr>
          <w:rFonts w:ascii="Open Sans" w:eastAsia="Calibri" w:hAnsi="Open Sans" w:cs="Open Sans"/>
          <w:color w:val="000000"/>
          <w:sz w:val="22"/>
          <w:szCs w:val="22"/>
          <w:shd w:val="clear" w:color="auto" w:fill="FFFFFF"/>
        </w:rPr>
      </w:pPr>
    </w:p>
    <w:sectPr w:rsidR="00BA6027" w:rsidRPr="00BA6027" w:rsidSect="00CD7D9A">
      <w:headerReference w:type="default" r:id="rId10"/>
      <w:footerReference w:type="default" r:id="rId11"/>
      <w:pgSz w:w="12240" w:h="15840"/>
      <w:pgMar w:top="1440" w:right="1800" w:bottom="1440" w:left="1800" w:header="0" w:footer="0"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C3E" w:rsidRDefault="004C3C3E" w:rsidP="003E0BEC">
      <w:r>
        <w:separator/>
      </w:r>
    </w:p>
  </w:endnote>
  <w:endnote w:type="continuationSeparator" w:id="1">
    <w:p w:rsidR="004C3C3E" w:rsidRDefault="004C3C3E" w:rsidP="003E0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71274702"/>
      <w:docPartObj>
        <w:docPartGallery w:val="Page Numbers (Bottom of Page)"/>
        <w:docPartUnique/>
      </w:docPartObj>
    </w:sdtPr>
    <w:sdtContent>
      <w:p w:rsidR="00C85B37" w:rsidRPr="00D17DE6" w:rsidRDefault="004B0AE5">
        <w:pPr>
          <w:pStyle w:val="Stopka"/>
          <w:jc w:val="center"/>
          <w:rPr>
            <w:sz w:val="20"/>
            <w:szCs w:val="20"/>
          </w:rPr>
        </w:pPr>
        <w:r w:rsidRPr="00D17DE6">
          <w:rPr>
            <w:sz w:val="20"/>
            <w:szCs w:val="20"/>
          </w:rPr>
          <w:fldChar w:fldCharType="begin"/>
        </w:r>
        <w:r w:rsidR="00C85B37" w:rsidRPr="00D17DE6">
          <w:rPr>
            <w:sz w:val="20"/>
            <w:szCs w:val="20"/>
          </w:rPr>
          <w:instrText>PAGE   \* MERGEFORMAT</w:instrText>
        </w:r>
        <w:r w:rsidRPr="00D17DE6">
          <w:rPr>
            <w:sz w:val="20"/>
            <w:szCs w:val="20"/>
          </w:rPr>
          <w:fldChar w:fldCharType="separate"/>
        </w:r>
        <w:r w:rsidR="00D17DE6">
          <w:rPr>
            <w:noProof/>
            <w:sz w:val="20"/>
            <w:szCs w:val="20"/>
          </w:rPr>
          <w:t>2</w:t>
        </w:r>
        <w:r w:rsidRPr="00D17DE6">
          <w:rPr>
            <w:sz w:val="20"/>
            <w:szCs w:val="20"/>
          </w:rPr>
          <w:fldChar w:fldCharType="end"/>
        </w:r>
      </w:p>
    </w:sdtContent>
  </w:sdt>
  <w:p w:rsidR="00C85B37" w:rsidRDefault="00C85B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C3E" w:rsidRDefault="004C3C3E" w:rsidP="003E0BEC">
      <w:r>
        <w:separator/>
      </w:r>
    </w:p>
  </w:footnote>
  <w:footnote w:type="continuationSeparator" w:id="1">
    <w:p w:rsidR="004C3C3E" w:rsidRDefault="004C3C3E" w:rsidP="003E0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37" w:rsidRDefault="00C84868" w:rsidP="00C85B37">
    <w:pPr>
      <w:pStyle w:val="Nagwek"/>
      <w:jc w:val="center"/>
    </w:pPr>
    <w:r>
      <w:rPr>
        <w:noProof/>
        <w:lang w:eastAsia="pl-PL" w:bidi="ar-SA"/>
      </w:rPr>
      <w:drawing>
        <wp:inline distT="0" distB="0" distL="0" distR="0">
          <wp:extent cx="6133465" cy="63817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3465" cy="6381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30A4"/>
    <w:multiLevelType w:val="hybridMultilevel"/>
    <w:tmpl w:val="9F586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3A4D9B"/>
    <w:multiLevelType w:val="hybridMultilevel"/>
    <w:tmpl w:val="C1E60FBE"/>
    <w:lvl w:ilvl="0" w:tplc="E3FCE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18434"/>
  </w:hdrShapeDefaults>
  <w:footnotePr>
    <w:footnote w:id="0"/>
    <w:footnote w:id="1"/>
  </w:footnotePr>
  <w:endnotePr>
    <w:endnote w:id="0"/>
    <w:endnote w:id="1"/>
  </w:endnotePr>
  <w:compat>
    <w:useFELayout/>
  </w:compat>
  <w:rsids>
    <w:rsidRoot w:val="00163373"/>
    <w:rsid w:val="00013628"/>
    <w:rsid w:val="00022750"/>
    <w:rsid w:val="00063811"/>
    <w:rsid w:val="000C2C4C"/>
    <w:rsid w:val="000D4ADD"/>
    <w:rsid w:val="0012345E"/>
    <w:rsid w:val="00163373"/>
    <w:rsid w:val="0017516D"/>
    <w:rsid w:val="001B64A6"/>
    <w:rsid w:val="001E6CC9"/>
    <w:rsid w:val="002D1752"/>
    <w:rsid w:val="002F6E81"/>
    <w:rsid w:val="00311216"/>
    <w:rsid w:val="003E0BEC"/>
    <w:rsid w:val="0049195D"/>
    <w:rsid w:val="004B0AE5"/>
    <w:rsid w:val="004C3C3E"/>
    <w:rsid w:val="004D0D82"/>
    <w:rsid w:val="004F7158"/>
    <w:rsid w:val="005114AE"/>
    <w:rsid w:val="00512007"/>
    <w:rsid w:val="00546ADD"/>
    <w:rsid w:val="005B102F"/>
    <w:rsid w:val="006709B7"/>
    <w:rsid w:val="006A435C"/>
    <w:rsid w:val="00736B20"/>
    <w:rsid w:val="00766069"/>
    <w:rsid w:val="007B0C00"/>
    <w:rsid w:val="007B14A0"/>
    <w:rsid w:val="007B7DF4"/>
    <w:rsid w:val="007F791B"/>
    <w:rsid w:val="008100C3"/>
    <w:rsid w:val="00832055"/>
    <w:rsid w:val="008343E7"/>
    <w:rsid w:val="0087752C"/>
    <w:rsid w:val="0097354D"/>
    <w:rsid w:val="00A102C3"/>
    <w:rsid w:val="00A94CB0"/>
    <w:rsid w:val="00AA47CB"/>
    <w:rsid w:val="00AA5F0A"/>
    <w:rsid w:val="00B60647"/>
    <w:rsid w:val="00BA6027"/>
    <w:rsid w:val="00BB19E2"/>
    <w:rsid w:val="00BE086B"/>
    <w:rsid w:val="00C5512B"/>
    <w:rsid w:val="00C61F98"/>
    <w:rsid w:val="00C84868"/>
    <w:rsid w:val="00C85B37"/>
    <w:rsid w:val="00CB1314"/>
    <w:rsid w:val="00CB1C59"/>
    <w:rsid w:val="00CD7D9A"/>
    <w:rsid w:val="00CE074B"/>
    <w:rsid w:val="00CE6B1E"/>
    <w:rsid w:val="00D05808"/>
    <w:rsid w:val="00D079F6"/>
    <w:rsid w:val="00D17DE6"/>
    <w:rsid w:val="00DA2DA0"/>
    <w:rsid w:val="00DE4407"/>
    <w:rsid w:val="00E02170"/>
    <w:rsid w:val="00E132BE"/>
    <w:rsid w:val="00E148AE"/>
    <w:rsid w:val="00E97EC0"/>
    <w:rsid w:val="00ED1005"/>
    <w:rsid w:val="00EF0F04"/>
    <w:rsid w:val="00EF63C8"/>
    <w:rsid w:val="00FA4B1D"/>
    <w:rsid w:val="00FC4757"/>
    <w:rsid w:val="00FD01E7"/>
    <w:rsid w:val="00FD5B92"/>
    <w:rsid w:val="00FD6535"/>
    <w:rsid w:val="00FE4C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D9A"/>
    <w:pPr>
      <w:widowControl w:val="0"/>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rsid w:val="00CD7D9A"/>
    <w:pPr>
      <w:keepNext/>
      <w:spacing w:before="240" w:after="120"/>
    </w:pPr>
    <w:rPr>
      <w:rFonts w:ascii="Liberation Sans" w:eastAsia="Microsoft YaHei" w:hAnsi="Liberation Sans"/>
      <w:sz w:val="28"/>
      <w:szCs w:val="28"/>
    </w:rPr>
  </w:style>
  <w:style w:type="paragraph" w:customStyle="1" w:styleId="Tretekstu">
    <w:name w:val="Treść tekstu"/>
    <w:basedOn w:val="Normalny"/>
    <w:rsid w:val="00CD7D9A"/>
    <w:pPr>
      <w:spacing w:after="140" w:line="288" w:lineRule="auto"/>
    </w:pPr>
  </w:style>
  <w:style w:type="paragraph" w:styleId="Lista">
    <w:name w:val="List"/>
    <w:basedOn w:val="Tretekstu"/>
    <w:rsid w:val="00CD7D9A"/>
  </w:style>
  <w:style w:type="paragraph" w:styleId="Podpis">
    <w:name w:val="Signature"/>
    <w:basedOn w:val="Normalny"/>
    <w:rsid w:val="00CD7D9A"/>
    <w:pPr>
      <w:suppressLineNumbers/>
      <w:spacing w:before="120" w:after="120"/>
    </w:pPr>
    <w:rPr>
      <w:i/>
      <w:iCs/>
    </w:rPr>
  </w:style>
  <w:style w:type="paragraph" w:customStyle="1" w:styleId="Indeks">
    <w:name w:val="Indeks"/>
    <w:basedOn w:val="Normalny"/>
    <w:rsid w:val="00CD7D9A"/>
    <w:pPr>
      <w:suppressLineNumbers/>
    </w:pPr>
  </w:style>
  <w:style w:type="table" w:styleId="Tabela-Siatka">
    <w:name w:val="Table Grid"/>
    <w:basedOn w:val="Standardowy"/>
    <w:uiPriority w:val="39"/>
    <w:rsid w:val="007F7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D5B92"/>
    <w:pPr>
      <w:widowControl/>
      <w:suppressAutoHyphens w:val="0"/>
      <w:spacing w:after="200" w:line="276" w:lineRule="auto"/>
      <w:ind w:left="720"/>
      <w:contextualSpacing/>
    </w:pPr>
    <w:rPr>
      <w:rFonts w:asciiTheme="minorHAnsi" w:eastAsiaTheme="minorHAnsi" w:hAnsiTheme="minorHAnsi" w:cstheme="minorBidi"/>
      <w:sz w:val="22"/>
      <w:szCs w:val="22"/>
      <w:lang w:eastAsia="en-US" w:bidi="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3E0BEC"/>
    <w:pPr>
      <w:widowControl/>
      <w:suppressAutoHyphens w:val="0"/>
    </w:pPr>
    <w:rPr>
      <w:rFonts w:ascii="Times New Roman" w:eastAsia="Times New Roman" w:hAnsi="Times New Roman" w:cs="Times New Roman"/>
      <w:sz w:val="20"/>
      <w:szCs w:val="20"/>
      <w:lang w:eastAsia="pl-PL" w:bidi="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E0BEC"/>
    <w:rPr>
      <w:rFonts w:ascii="Times New Roman" w:eastAsia="Times New Roman" w:hAnsi="Times New Roman" w:cs="Times New Roman"/>
      <w:sz w:val="20"/>
      <w:szCs w:val="20"/>
      <w:lang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E0BEC"/>
    <w:rPr>
      <w:vertAlign w:val="superscript"/>
    </w:rPr>
  </w:style>
  <w:style w:type="paragraph" w:styleId="Stopka">
    <w:name w:val="footer"/>
    <w:basedOn w:val="Normalny"/>
    <w:link w:val="StopkaZnak"/>
    <w:uiPriority w:val="99"/>
    <w:unhideWhenUsed/>
    <w:rsid w:val="00C85B37"/>
    <w:pPr>
      <w:tabs>
        <w:tab w:val="center" w:pos="4536"/>
        <w:tab w:val="right" w:pos="9072"/>
      </w:tabs>
    </w:pPr>
    <w:rPr>
      <w:szCs w:val="21"/>
    </w:rPr>
  </w:style>
  <w:style w:type="character" w:customStyle="1" w:styleId="StopkaZnak">
    <w:name w:val="Stopka Znak"/>
    <w:basedOn w:val="Domylnaczcionkaakapitu"/>
    <w:link w:val="Stopka"/>
    <w:uiPriority w:val="99"/>
    <w:rsid w:val="00C85B37"/>
    <w:rPr>
      <w:szCs w:val="21"/>
    </w:rPr>
  </w:style>
  <w:style w:type="character" w:styleId="Hipercze">
    <w:name w:val="Hyperlink"/>
    <w:basedOn w:val="Domylnaczcionkaakapitu"/>
    <w:uiPriority w:val="99"/>
    <w:unhideWhenUsed/>
    <w:rsid w:val="004F7158"/>
    <w:rPr>
      <w:color w:val="0563C1" w:themeColor="hyperlink"/>
      <w:u w:val="single"/>
    </w:rPr>
  </w:style>
  <w:style w:type="character" w:customStyle="1" w:styleId="UnresolvedMention">
    <w:name w:val="Unresolved Mention"/>
    <w:basedOn w:val="Domylnaczcionkaakapitu"/>
    <w:uiPriority w:val="99"/>
    <w:semiHidden/>
    <w:unhideWhenUsed/>
    <w:rsid w:val="004F7158"/>
    <w:rPr>
      <w:color w:val="605E5C"/>
      <w:shd w:val="clear" w:color="auto" w:fill="E1DFDD"/>
    </w:rPr>
  </w:style>
  <w:style w:type="paragraph" w:styleId="Tekstdymka">
    <w:name w:val="Balloon Text"/>
    <w:basedOn w:val="Normalny"/>
    <w:link w:val="TekstdymkaZnak"/>
    <w:uiPriority w:val="99"/>
    <w:semiHidden/>
    <w:unhideWhenUsed/>
    <w:rsid w:val="005B102F"/>
    <w:rPr>
      <w:rFonts w:ascii="Tahoma" w:hAnsi="Tahoma"/>
      <w:sz w:val="16"/>
      <w:szCs w:val="14"/>
    </w:rPr>
  </w:style>
  <w:style w:type="character" w:customStyle="1" w:styleId="TekstdymkaZnak">
    <w:name w:val="Tekst dymka Znak"/>
    <w:basedOn w:val="Domylnaczcionkaakapitu"/>
    <w:link w:val="Tekstdymka"/>
    <w:uiPriority w:val="99"/>
    <w:semiHidden/>
    <w:rsid w:val="005B102F"/>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eocard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51E2-C10A-439A-A4F7-212B7B4B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1152</Words>
  <Characters>6913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Kaźmierczak</dc:creator>
  <cp:lastModifiedBy>1</cp:lastModifiedBy>
  <cp:revision>13</cp:revision>
  <cp:lastPrinted>2022-05-17T07:25:00Z</cp:lastPrinted>
  <dcterms:created xsi:type="dcterms:W3CDTF">2022-05-09T13:01:00Z</dcterms:created>
  <dcterms:modified xsi:type="dcterms:W3CDTF">2022-05-17T07:25:00Z</dcterms:modified>
  <dc:language>pl-PL</dc:language>
</cp:coreProperties>
</file>